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Wednesday 28th of November, 2012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Started at 8:02pm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Harry Potter Shabbat (11/30/12)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food is taken care of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decorations (need Cara for decoration buying)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quarter cards are handed out for more handings out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Chrismahannaqwanzikah (12/1/12) 7-9pm 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Need people for set up and clean up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need bear with Dreidel (ask Rabbi or Cara)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Latkes with sour cream and applesauce, dreidel spinning, lighting the candles for Hannukah, coloring Hannukah related pages! 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Paul brought his electric menorah so no fires!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Muslin/Jewish Social (11/29/12) 5-7 pm Pizza and social timez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God isn’t One... lecture (11.29.12) skylight at 7pm and American Zionism Lecture at 8:45pm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 (12/7/12) Erin is doing it - Hannukah Shabbat with Latkes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Kason said that we’re hanging out with Orthodox people in Pikesville more next semester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Holocaust Survivor Shabbat (2.15.13) 6-10pm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get the History Council, ANSC, German Club involved with this event (we all have connections)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Peach kugel and knishes (veggie knishes) as well as something fancy! and veggie jambalaya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Collaborate with ANCS for Prince of Egypt movie night in March/April 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Erin will talk to the ANCS council!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Purim Event (3/1/13) 5-11 Mainstreet and Lower Flat Tuesday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 Tyler, Kason and Morgan are planning it and have been collaborating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talking to Theater people, fencing people, acapella and radio station groups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chocolate fountain, ribbons, streamers, hamentashen, small finger food instead of a sit-down dinner (horderves style), balloons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costumes are welcomed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skit by the fraternity again?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“Frat bros being Hamen’s hoes” talk to Lena and Amalia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Welcome Victoria (potentially) as the Spring 2013 Treasurer!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11/28/12.docx</dc:title>
</cp:coreProperties>
</file>